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DF" w:rsidRDefault="00E07CDF" w:rsidP="00E07CDF">
      <w:pPr>
        <w:jc w:val="center"/>
        <w:rPr>
          <w:rFonts w:ascii="Arial" w:hAnsi="Arial" w:cs="Arial"/>
          <w:sz w:val="24"/>
          <w:szCs w:val="24"/>
          <w:lang w:val="ro-RO"/>
        </w:rPr>
      </w:pPr>
      <w:r>
        <w:rPr>
          <w:rFonts w:ascii="Arial" w:hAnsi="Arial" w:cs="Arial"/>
          <w:sz w:val="24"/>
          <w:szCs w:val="24"/>
          <w:lang w:val="ro-RO"/>
        </w:rPr>
        <w:t>Determinări genetice in LES</w:t>
      </w:r>
    </w:p>
    <w:p w:rsidR="00E07CDF" w:rsidRDefault="00E07CDF" w:rsidP="00E07CDF">
      <w:pPr>
        <w:jc w:val="right"/>
        <w:rPr>
          <w:rFonts w:ascii="Arial" w:hAnsi="Arial" w:cs="Arial"/>
          <w:sz w:val="24"/>
          <w:szCs w:val="24"/>
          <w:lang w:val="ro-RO"/>
        </w:rPr>
      </w:pPr>
      <w:r>
        <w:rPr>
          <w:rFonts w:ascii="Arial" w:hAnsi="Arial" w:cs="Arial"/>
          <w:sz w:val="24"/>
          <w:szCs w:val="24"/>
          <w:lang w:val="ro-RO"/>
        </w:rPr>
        <w:t>Dr. R. M. Dragotoiu</w:t>
      </w:r>
    </w:p>
    <w:p w:rsidR="00E07CDF" w:rsidRDefault="00E07CDF" w:rsidP="00E07CDF">
      <w:pPr>
        <w:jc w:val="right"/>
        <w:rPr>
          <w:rFonts w:ascii="Arial" w:hAnsi="Arial" w:cs="Arial"/>
          <w:sz w:val="24"/>
          <w:szCs w:val="24"/>
          <w:lang w:val="ro-RO"/>
        </w:rPr>
      </w:pPr>
    </w:p>
    <w:p w:rsidR="00E07CDF" w:rsidRDefault="00E07CDF" w:rsidP="00E07CDF">
      <w:pPr>
        <w:spacing w:line="360" w:lineRule="auto"/>
        <w:ind w:firstLine="720"/>
        <w:jc w:val="both"/>
        <w:rPr>
          <w:rFonts w:ascii="Arial" w:hAnsi="Arial" w:cs="Arial"/>
          <w:color w:val="000000"/>
          <w:sz w:val="21"/>
          <w:szCs w:val="21"/>
          <w:lang w:val="ro-RO"/>
        </w:rPr>
      </w:pPr>
      <w:r>
        <w:rPr>
          <w:rStyle w:val="Strong"/>
          <w:rFonts w:ascii="Arial" w:hAnsi="Arial" w:cs="Arial"/>
          <w:b w:val="0"/>
          <w:color w:val="484846"/>
          <w:sz w:val="21"/>
          <w:szCs w:val="21"/>
          <w:shd w:val="clear" w:color="auto" w:fill="FFFFFF"/>
          <w:lang w:val="ro-RO"/>
        </w:rPr>
        <w:t xml:space="preserve">Lupusul Eritematos Sistemic (LES), </w:t>
      </w:r>
      <w:r>
        <w:rPr>
          <w:rStyle w:val="Strong"/>
          <w:rFonts w:ascii="Arial" w:hAnsi="Arial" w:cs="Arial"/>
          <w:b w:val="0"/>
          <w:i/>
          <w:color w:val="484846"/>
          <w:sz w:val="21"/>
          <w:szCs w:val="21"/>
          <w:shd w:val="clear" w:color="auto" w:fill="FFFFFF"/>
          <w:lang w:val="ro-RO"/>
        </w:rPr>
        <w:t>boala cu o mie de feţe</w:t>
      </w:r>
      <w:r>
        <w:rPr>
          <w:rStyle w:val="Strong"/>
          <w:rFonts w:ascii="Arial" w:hAnsi="Arial" w:cs="Arial"/>
          <w:b w:val="0"/>
          <w:color w:val="484846"/>
          <w:sz w:val="21"/>
          <w:szCs w:val="21"/>
          <w:shd w:val="clear" w:color="auto" w:fill="FFFFFF"/>
          <w:lang w:val="ro-RO"/>
        </w:rPr>
        <w:t>, este o afecţiune cronică, ce afectează în special femeile (90% din cazuri). Complexitatea şi imprevizibilitatea bolii au un impact devastator asupra vieţii sociale, precum şi asupra activităţii profesionale a pacientului. P</w:t>
      </w:r>
      <w:r>
        <w:rPr>
          <w:rFonts w:ascii="Arial" w:hAnsi="Arial" w:cs="Arial"/>
          <w:color w:val="000000"/>
          <w:sz w:val="21"/>
          <w:szCs w:val="21"/>
          <w:lang w:val="ro-RO"/>
        </w:rPr>
        <w:t xml:space="preserve">revalenţa LES este in populatia generala de 20-150 cazuri la 100 000. </w:t>
      </w:r>
    </w:p>
    <w:p w:rsidR="00E07CDF" w:rsidRDefault="00E07CDF" w:rsidP="00E07CDF">
      <w:pPr>
        <w:spacing w:line="360" w:lineRule="auto"/>
        <w:ind w:firstLine="720"/>
        <w:jc w:val="both"/>
        <w:rPr>
          <w:rStyle w:val="Strong"/>
          <w:b w:val="0"/>
          <w:color w:val="484846"/>
          <w:shd w:val="clear" w:color="auto" w:fill="FFFFFF"/>
        </w:rPr>
      </w:pPr>
      <w:r>
        <w:rPr>
          <w:rFonts w:ascii="Arial" w:hAnsi="Arial" w:cs="Arial"/>
          <w:color w:val="484846"/>
          <w:sz w:val="21"/>
          <w:szCs w:val="21"/>
          <w:shd w:val="clear" w:color="auto" w:fill="FFFFFF"/>
          <w:lang w:val="ro-RO"/>
        </w:rPr>
        <w:t>Potrivit statisticilor prezentate în cadrul Congresului Naţional de Reumatologie din 2012, 93% dintre pacienţii cu LES din România sunt femei cu vârsta medie de 43 de ani. Două treimi dintre pacienţii adulţi au vârsta sub 45 de ani.</w:t>
      </w:r>
      <w:r>
        <w:rPr>
          <w:rStyle w:val="apple-converted-space"/>
          <w:rFonts w:ascii="Arial" w:hAnsi="Arial" w:cs="Arial"/>
          <w:bCs/>
          <w:color w:val="484846"/>
          <w:sz w:val="21"/>
          <w:szCs w:val="21"/>
          <w:shd w:val="clear" w:color="auto" w:fill="FFFFFF"/>
          <w:lang w:val="ro-RO"/>
        </w:rPr>
        <w:t> </w:t>
      </w:r>
      <w:r>
        <w:rPr>
          <w:rStyle w:val="Strong"/>
          <w:rFonts w:ascii="Arial" w:hAnsi="Arial" w:cs="Arial"/>
          <w:b w:val="0"/>
          <w:color w:val="484846"/>
          <w:sz w:val="21"/>
          <w:szCs w:val="21"/>
          <w:shd w:val="clear" w:color="auto" w:fill="FFFFFF"/>
          <w:lang w:val="ro-RO"/>
        </w:rPr>
        <w:t>5 din 10 pacienţi nu îşi mai pot continua activitatea profesională din cauza bolii şi</w:t>
      </w:r>
      <w:r>
        <w:rPr>
          <w:rFonts w:ascii="Arial" w:hAnsi="Arial" w:cs="Arial"/>
          <w:color w:val="484846"/>
          <w:sz w:val="21"/>
          <w:szCs w:val="21"/>
          <w:shd w:val="clear" w:color="auto" w:fill="FFFFFF"/>
          <w:lang w:val="ro-RO"/>
        </w:rPr>
        <w:t xml:space="preserve"> în pofida creşterii ratei de supravieţuire,</w:t>
      </w:r>
      <w:r>
        <w:rPr>
          <w:rStyle w:val="apple-converted-space"/>
          <w:rFonts w:ascii="Arial" w:hAnsi="Arial" w:cs="Arial"/>
          <w:color w:val="484846"/>
          <w:sz w:val="21"/>
          <w:szCs w:val="21"/>
          <w:shd w:val="clear" w:color="auto" w:fill="FFFFFF"/>
          <w:lang w:val="ro-RO"/>
        </w:rPr>
        <w:t> </w:t>
      </w:r>
      <w:r>
        <w:rPr>
          <w:rStyle w:val="Strong"/>
          <w:rFonts w:ascii="Arial" w:hAnsi="Arial" w:cs="Arial"/>
          <w:b w:val="0"/>
          <w:color w:val="484846"/>
          <w:sz w:val="21"/>
          <w:szCs w:val="21"/>
          <w:shd w:val="clear" w:color="auto" w:fill="FFFFFF"/>
          <w:lang w:val="ro-RO"/>
        </w:rPr>
        <w:t>15-20% dintre pacienţii cu LES decedează într-un interval de 15 ani după diagnosticare.</w:t>
      </w:r>
    </w:p>
    <w:p w:rsidR="00E07CDF" w:rsidRDefault="00E07CDF" w:rsidP="00E07CDF">
      <w:pPr>
        <w:spacing w:line="360" w:lineRule="auto"/>
        <w:ind w:firstLine="720"/>
        <w:jc w:val="both"/>
        <w:rPr>
          <w:rStyle w:val="Strong"/>
          <w:rFonts w:ascii="Arial" w:hAnsi="Arial" w:cs="Arial"/>
          <w:b w:val="0"/>
          <w:color w:val="484846"/>
          <w:sz w:val="21"/>
          <w:szCs w:val="21"/>
          <w:shd w:val="clear" w:color="auto" w:fill="FFFFFF"/>
          <w:lang w:val="ro-RO"/>
        </w:rPr>
      </w:pPr>
      <w:r>
        <w:rPr>
          <w:rStyle w:val="Strong"/>
          <w:rFonts w:ascii="Arial" w:hAnsi="Arial" w:cs="Arial"/>
          <w:b w:val="0"/>
          <w:color w:val="484846"/>
          <w:sz w:val="21"/>
          <w:szCs w:val="21"/>
          <w:shd w:val="clear" w:color="auto" w:fill="FFFFFF"/>
          <w:lang w:val="ro-RO"/>
        </w:rPr>
        <w:t>Descifrarea mecanismelor patogenice este incă şi astăzi o provocare fiind necesară ȋn vederea elaborării unor tratmente eficiente. Ca urmare a studiilor genetice si genomice individuale şi populaţionale din ultimii ani medicina şi respectiv tratamentele se doresc a fi direcţionate cât mai precis pe caracterele unice ale genotipului pacientului, efectuându-se astfel o terapie personalizată ţintită direct pe modificarea existent</w:t>
      </w:r>
      <w:r>
        <w:rPr>
          <w:rStyle w:val="Strong"/>
          <w:rFonts w:ascii="Calibri" w:hAnsi="Calibri" w:cs="Arial"/>
          <w:b w:val="0"/>
          <w:color w:val="484846"/>
          <w:sz w:val="21"/>
          <w:szCs w:val="21"/>
          <w:shd w:val="clear" w:color="auto" w:fill="FFFFFF"/>
          <w:lang w:val="ro-RO"/>
        </w:rPr>
        <w:t>ă</w:t>
      </w:r>
      <w:r>
        <w:rPr>
          <w:rStyle w:val="Strong"/>
          <w:rFonts w:ascii="Arial" w:hAnsi="Arial" w:cs="Arial"/>
          <w:b w:val="0"/>
          <w:color w:val="484846"/>
          <w:sz w:val="21"/>
          <w:szCs w:val="21"/>
          <w:shd w:val="clear" w:color="auto" w:fill="FFFFFF"/>
          <w:lang w:val="ro-RO"/>
        </w:rPr>
        <w:t xml:space="preserve"> ȋn bagajul informational celular.</w:t>
      </w:r>
    </w:p>
    <w:p w:rsidR="00E07CDF" w:rsidRDefault="00E07CDF" w:rsidP="00E07CDF">
      <w:pPr>
        <w:spacing w:line="360" w:lineRule="auto"/>
        <w:ind w:firstLine="720"/>
        <w:jc w:val="both"/>
        <w:rPr>
          <w:rStyle w:val="Strong"/>
          <w:rFonts w:ascii="Arial" w:hAnsi="Arial" w:cs="Arial"/>
          <w:b w:val="0"/>
          <w:color w:val="484846"/>
          <w:sz w:val="21"/>
          <w:szCs w:val="21"/>
          <w:shd w:val="clear" w:color="auto" w:fill="FFFFFF"/>
          <w:lang w:val="ro-RO"/>
        </w:rPr>
      </w:pPr>
      <w:r>
        <w:rPr>
          <w:rStyle w:val="Strong"/>
          <w:rFonts w:ascii="Arial" w:hAnsi="Arial" w:cs="Arial"/>
          <w:b w:val="0"/>
          <w:color w:val="484846"/>
          <w:sz w:val="21"/>
          <w:szCs w:val="21"/>
          <w:shd w:val="clear" w:color="auto" w:fill="FFFFFF"/>
          <w:lang w:val="ro-RO"/>
        </w:rPr>
        <w:t xml:space="preserve">LES este considerat o boala multifactorială şi poligenică: moştenirea genetică determină o susceptibilitate pentru apariţia bolii, ȋn cazul ȋn care se asociază şi anumiţi factori de mediu. Studii de tipul GWAS (genome wide association study) au identificat variatii genomice, care apar mai frecvent la persoanele cu LES. Pentru a confirma descoperirile si pentru a gasi eventual alelele, care determina apariţia fenotipului particular din LES, s-a creat un consorţiu cu peste 50 de grupuri de cercetători din ȋntreaga lume. Studiul (« LLAS2 ») a adus noi date sau a confirmat asocierile varianta genica – boala, dar tot nu se poate simplifica originea  LES la o boala monogenică. </w:t>
      </w:r>
    </w:p>
    <w:p w:rsidR="00E07CDF" w:rsidRDefault="00E07CDF" w:rsidP="00E07CDF">
      <w:pPr>
        <w:spacing w:line="360" w:lineRule="auto"/>
        <w:ind w:firstLine="720"/>
        <w:jc w:val="both"/>
        <w:rPr>
          <w:rStyle w:val="Strong"/>
          <w:rFonts w:ascii="Arial" w:hAnsi="Arial" w:cs="Arial"/>
          <w:b w:val="0"/>
          <w:color w:val="484846"/>
          <w:sz w:val="21"/>
          <w:szCs w:val="21"/>
          <w:shd w:val="clear" w:color="auto" w:fill="FFFFFF"/>
          <w:lang w:val="ro-RO"/>
        </w:rPr>
      </w:pPr>
      <w:r>
        <w:rPr>
          <w:rStyle w:val="Strong"/>
          <w:rFonts w:ascii="Arial" w:hAnsi="Arial" w:cs="Arial"/>
          <w:b w:val="0"/>
          <w:color w:val="484846"/>
          <w:sz w:val="21"/>
          <w:szCs w:val="21"/>
          <w:shd w:val="clear" w:color="auto" w:fill="FFFFFF"/>
          <w:lang w:val="ro-RO"/>
        </w:rPr>
        <w:t xml:space="preserve">Alţi cercetători susţin influenţa factorilor epigenetici : metilarea sau demetilarea, acetilarea sau dezacetilarea cozilor histonice, metilarea citozinei din insulele CpG ale ADNului. Tinând cont de faptul că modificările epigenetice sunt influenţate de factori de mediu (precum este dovedit efectul alimentaţiei  predecesorilor, dar poate nu este singurul), se poate ca această maladie, asemeni altor boli autoimune, să nu fie datorată unui defect unic, pe care il caută ȋncă medicina, ci să fie rezultatul efectului aditiv al bagajului genetic şi al unor factori externi organismului. </w:t>
      </w:r>
    </w:p>
    <w:p w:rsidR="00E07CDF" w:rsidRDefault="00E07CDF" w:rsidP="00E07CDF">
      <w:pPr>
        <w:spacing w:line="360" w:lineRule="auto"/>
        <w:ind w:firstLine="720"/>
        <w:jc w:val="both"/>
        <w:rPr>
          <w:color w:val="000000"/>
        </w:rPr>
      </w:pPr>
      <w:r>
        <w:rPr>
          <w:rStyle w:val="Strong"/>
          <w:rFonts w:ascii="Arial" w:hAnsi="Arial" w:cs="Arial"/>
          <w:b w:val="0"/>
          <w:color w:val="484846"/>
          <w:sz w:val="21"/>
          <w:szCs w:val="21"/>
          <w:shd w:val="clear" w:color="auto" w:fill="FFFFFF"/>
          <w:lang w:val="ro-RO"/>
        </w:rPr>
        <w:t xml:space="preserve">Totuşi au existat studii familiale care certificau un tip de ereditate monogenică autozomal recesivă (gena </w:t>
      </w:r>
      <w:r>
        <w:rPr>
          <w:rFonts w:ascii="Arial" w:hAnsi="Arial" w:cs="Arial"/>
          <w:color w:val="000000"/>
          <w:sz w:val="21"/>
          <w:szCs w:val="21"/>
          <w:shd w:val="clear" w:color="auto" w:fill="FFFFFF"/>
          <w:lang w:val="ro-RO"/>
        </w:rPr>
        <w:t>DNASE1L3 de pe cromozomul 3p14.3), iar altele una autozomal dominantă :</w:t>
      </w:r>
    </w:p>
    <w:tbl>
      <w:tblPr>
        <w:tblW w:w="7420" w:type="dxa"/>
        <w:tblBorders>
          <w:top w:val="single" w:sz="6" w:space="0" w:color="DDDDDD"/>
          <w:left w:val="single" w:sz="6" w:space="0" w:color="DDDDDD"/>
          <w:bottom w:val="single" w:sz="6" w:space="0" w:color="DDDDDD"/>
          <w:right w:val="single" w:sz="6" w:space="0" w:color="DDDDDD"/>
        </w:tblBorders>
        <w:shd w:val="clear" w:color="auto" w:fill="FFFFFF"/>
        <w:tblLook w:val="04A0" w:firstRow="1" w:lastRow="0" w:firstColumn="1" w:lastColumn="0" w:noHBand="0" w:noVBand="1"/>
      </w:tblPr>
      <w:tblGrid>
        <w:gridCol w:w="1336"/>
        <w:gridCol w:w="2989"/>
        <w:gridCol w:w="1534"/>
        <w:gridCol w:w="1561"/>
      </w:tblGrid>
      <w:tr w:rsidR="00E07CDF" w:rsidTr="00E07CDF">
        <w:trPr>
          <w:tblHeader/>
        </w:trPr>
        <w:tc>
          <w:tcPr>
            <w:tcW w:w="0" w:type="auto"/>
            <w:tcBorders>
              <w:top w:val="nil"/>
              <w:left w:val="single" w:sz="6" w:space="0" w:color="DDDDDD"/>
              <w:bottom w:val="single" w:sz="12" w:space="0" w:color="DDDDDD"/>
              <w:right w:val="single" w:sz="6" w:space="0" w:color="DDDDDD"/>
            </w:tcBorders>
            <w:shd w:val="clear" w:color="auto" w:fill="F5F5F5"/>
            <w:tcMar>
              <w:top w:w="75" w:type="dxa"/>
              <w:left w:w="75" w:type="dxa"/>
              <w:bottom w:w="75" w:type="dxa"/>
              <w:right w:w="75" w:type="dxa"/>
            </w:tcMar>
            <w:vAlign w:val="bottom"/>
            <w:hideMark/>
          </w:tcPr>
          <w:p w:rsidR="00E07CDF" w:rsidRDefault="00E07CDF">
            <w:pPr>
              <w:spacing w:after="300" w:line="240" w:lineRule="auto"/>
              <w:rPr>
                <w:rFonts w:ascii="Lucida Sans" w:eastAsia="Times New Roman" w:hAnsi="Lucida Sans" w:cs="Times New Roman"/>
                <w:b/>
                <w:bCs/>
                <w:color w:val="000000"/>
                <w:sz w:val="18"/>
                <w:szCs w:val="18"/>
                <w:lang w:val="ro-RO"/>
              </w:rPr>
            </w:pPr>
            <w:r>
              <w:rPr>
                <w:rFonts w:ascii="Lucida Sans" w:eastAsia="Times New Roman" w:hAnsi="Lucida Sans" w:cs="Times New Roman"/>
                <w:b/>
                <w:bCs/>
                <w:color w:val="000000"/>
                <w:sz w:val="18"/>
                <w:szCs w:val="18"/>
                <w:lang w:val="ro-RO"/>
              </w:rPr>
              <w:lastRenderedPageBreak/>
              <w:t>Localizare</w:t>
            </w:r>
          </w:p>
        </w:tc>
        <w:tc>
          <w:tcPr>
            <w:tcW w:w="0" w:type="auto"/>
            <w:tcBorders>
              <w:top w:val="nil"/>
              <w:left w:val="single" w:sz="6" w:space="0" w:color="DDDDDD"/>
              <w:bottom w:val="single" w:sz="12" w:space="0" w:color="DDDDDD"/>
              <w:right w:val="single" w:sz="6" w:space="0" w:color="DDDDDD"/>
            </w:tcBorders>
            <w:shd w:val="clear" w:color="auto" w:fill="F5F5F5"/>
            <w:tcMar>
              <w:top w:w="75" w:type="dxa"/>
              <w:left w:w="75" w:type="dxa"/>
              <w:bottom w:w="75" w:type="dxa"/>
              <w:right w:w="75" w:type="dxa"/>
            </w:tcMar>
            <w:vAlign w:val="bottom"/>
          </w:tcPr>
          <w:p w:rsidR="00E07CDF" w:rsidRDefault="00E07CDF">
            <w:pPr>
              <w:spacing w:after="300" w:line="240" w:lineRule="auto"/>
              <w:rPr>
                <w:rFonts w:ascii="Lucida Sans" w:eastAsia="Times New Roman" w:hAnsi="Lucida Sans" w:cs="Times New Roman"/>
                <w:b/>
                <w:bCs/>
                <w:color w:val="000000"/>
                <w:sz w:val="18"/>
                <w:szCs w:val="18"/>
                <w:lang w:val="ro-RO"/>
              </w:rPr>
            </w:pPr>
          </w:p>
          <w:p w:rsidR="00E07CDF" w:rsidRDefault="00E07CDF">
            <w:pPr>
              <w:spacing w:after="300" w:line="240" w:lineRule="auto"/>
              <w:rPr>
                <w:rFonts w:ascii="Lucida Sans" w:eastAsia="Times New Roman" w:hAnsi="Lucida Sans" w:cs="Times New Roman"/>
                <w:b/>
                <w:bCs/>
                <w:color w:val="000000"/>
                <w:sz w:val="18"/>
                <w:szCs w:val="18"/>
                <w:lang w:val="ro-RO"/>
              </w:rPr>
            </w:pPr>
            <w:r>
              <w:rPr>
                <w:rFonts w:ascii="Lucida Sans" w:eastAsia="Times New Roman" w:hAnsi="Lucida Sans" w:cs="Times New Roman"/>
                <w:b/>
                <w:bCs/>
                <w:color w:val="000000"/>
                <w:sz w:val="18"/>
                <w:szCs w:val="18"/>
                <w:lang w:val="ro-RO"/>
              </w:rPr>
              <w:t>Fenotip</w:t>
            </w:r>
          </w:p>
        </w:tc>
        <w:tc>
          <w:tcPr>
            <w:tcW w:w="0" w:type="auto"/>
            <w:tcBorders>
              <w:top w:val="nil"/>
              <w:left w:val="single" w:sz="6" w:space="0" w:color="DDDDDD"/>
              <w:bottom w:val="single" w:sz="12" w:space="0" w:color="DDDDDD"/>
              <w:right w:val="single" w:sz="6" w:space="0" w:color="DDDDDD"/>
            </w:tcBorders>
            <w:shd w:val="clear" w:color="auto" w:fill="F5F5F5"/>
            <w:tcMar>
              <w:top w:w="75" w:type="dxa"/>
              <w:left w:w="75" w:type="dxa"/>
              <w:bottom w:w="75" w:type="dxa"/>
              <w:right w:w="75" w:type="dxa"/>
            </w:tcMar>
            <w:vAlign w:val="bottom"/>
            <w:hideMark/>
          </w:tcPr>
          <w:p w:rsidR="00E07CDF" w:rsidRDefault="00E07CDF">
            <w:pPr>
              <w:spacing w:after="300" w:line="240" w:lineRule="auto"/>
              <w:rPr>
                <w:rFonts w:ascii="Lucida Sans" w:eastAsia="Times New Roman" w:hAnsi="Lucida Sans" w:cs="Times New Roman"/>
                <w:b/>
                <w:bCs/>
                <w:color w:val="000000"/>
                <w:sz w:val="18"/>
                <w:szCs w:val="18"/>
                <w:lang w:val="ro-RO"/>
              </w:rPr>
            </w:pPr>
            <w:r>
              <w:rPr>
                <w:rFonts w:ascii="Lucida Sans" w:eastAsia="Times New Roman" w:hAnsi="Lucida Sans" w:cs="Times New Roman"/>
                <w:b/>
                <w:bCs/>
                <w:color w:val="000000"/>
                <w:sz w:val="18"/>
                <w:szCs w:val="18"/>
                <w:lang w:val="ro-RO"/>
              </w:rPr>
              <w:t>Gena/Locus</w:t>
            </w:r>
          </w:p>
        </w:tc>
        <w:tc>
          <w:tcPr>
            <w:tcW w:w="0" w:type="auto"/>
            <w:tcBorders>
              <w:top w:val="nil"/>
              <w:left w:val="single" w:sz="6" w:space="0" w:color="DDDDDD"/>
              <w:bottom w:val="single" w:sz="12" w:space="0" w:color="DDDDDD"/>
              <w:right w:val="single" w:sz="6" w:space="0" w:color="DDDDDD"/>
            </w:tcBorders>
            <w:shd w:val="clear" w:color="auto" w:fill="F5F5F5"/>
            <w:tcMar>
              <w:top w:w="75" w:type="dxa"/>
              <w:left w:w="75" w:type="dxa"/>
              <w:bottom w:w="75" w:type="dxa"/>
              <w:right w:w="75" w:type="dxa"/>
            </w:tcMar>
            <w:vAlign w:val="bottom"/>
            <w:hideMark/>
          </w:tcPr>
          <w:p w:rsidR="00E07CDF" w:rsidRDefault="00E07CDF">
            <w:pPr>
              <w:spacing w:after="300" w:line="240" w:lineRule="auto"/>
              <w:rPr>
                <w:rFonts w:ascii="Lucida Sans" w:eastAsia="Times New Roman" w:hAnsi="Lucida Sans" w:cs="Times New Roman"/>
                <w:b/>
                <w:bCs/>
                <w:color w:val="000000"/>
                <w:sz w:val="18"/>
                <w:szCs w:val="18"/>
                <w:lang w:val="ro-RO"/>
              </w:rPr>
            </w:pPr>
            <w:r>
              <w:rPr>
                <w:rFonts w:ascii="Lucida Sans" w:eastAsia="Times New Roman" w:hAnsi="Lucida Sans" w:cs="Times New Roman"/>
                <w:b/>
                <w:bCs/>
                <w:color w:val="000000"/>
                <w:sz w:val="18"/>
                <w:szCs w:val="18"/>
                <w:lang w:val="ro-RO"/>
              </w:rPr>
              <w:t>Gena/Locus</w:t>
            </w:r>
            <w:r>
              <w:rPr>
                <w:rFonts w:ascii="Lucida Sans" w:eastAsia="Times New Roman" w:hAnsi="Lucida Sans" w:cs="Times New Roman"/>
                <w:b/>
                <w:bCs/>
                <w:color w:val="000000"/>
                <w:sz w:val="18"/>
                <w:szCs w:val="18"/>
                <w:lang w:val="ro-RO"/>
              </w:rPr>
              <w:br/>
              <w:t xml:space="preserve"> nr. </w:t>
            </w:r>
            <w:r>
              <w:rPr>
                <w:rFonts w:ascii="Arial" w:eastAsia="Times New Roman" w:hAnsi="Arial" w:cs="Arial"/>
                <w:b/>
                <w:bCs/>
                <w:color w:val="000000"/>
                <w:sz w:val="18"/>
                <w:szCs w:val="18"/>
                <w:lang w:val="ro-RO"/>
              </w:rPr>
              <w:t>ȋ</w:t>
            </w:r>
            <w:r>
              <w:rPr>
                <w:rFonts w:ascii="Lucida Sans" w:eastAsia="Times New Roman" w:hAnsi="Lucida Sans" w:cs="Times New Roman"/>
                <w:b/>
                <w:bCs/>
                <w:color w:val="000000"/>
                <w:sz w:val="18"/>
                <w:szCs w:val="18"/>
                <w:lang w:val="ro-RO"/>
              </w:rPr>
              <w:t xml:space="preserve">n OMIM </w:t>
            </w:r>
          </w:p>
        </w:tc>
      </w:tr>
      <w:tr w:rsidR="00E07CDF" w:rsidTr="00E07CDF">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4" w:history="1">
              <w:r>
                <w:rPr>
                  <w:rStyle w:val="Hyperlink"/>
                  <w:rFonts w:ascii="Arial" w:eastAsia="Times New Roman" w:hAnsi="Arial" w:cs="Arial"/>
                  <w:color w:val="0C2EBB"/>
                  <w:sz w:val="18"/>
                  <w:szCs w:val="18"/>
                  <w:lang w:val="ro-RO"/>
                </w:rPr>
                <w:t>1p13.2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Susceptibilitate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PTPN22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5" w:history="1">
              <w:r>
                <w:rPr>
                  <w:rStyle w:val="Hyperlink"/>
                  <w:rFonts w:ascii="Arial" w:eastAsia="Times New Roman" w:hAnsi="Arial" w:cs="Arial"/>
                  <w:color w:val="0C2EBB"/>
                  <w:sz w:val="18"/>
                  <w:szCs w:val="18"/>
                  <w:lang w:val="ro-RO"/>
                </w:rPr>
                <w:t>600716</w:t>
              </w:r>
            </w:hyperlink>
          </w:p>
        </w:tc>
      </w:tr>
      <w:tr w:rsidR="00E07CDF" w:rsidTr="00E07CDF">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6" w:history="1">
              <w:r>
                <w:rPr>
                  <w:rStyle w:val="Hyperlink"/>
                  <w:rFonts w:ascii="Arial" w:eastAsia="Times New Roman" w:hAnsi="Arial" w:cs="Arial"/>
                  <w:color w:val="0C2EBB"/>
                  <w:sz w:val="18"/>
                  <w:szCs w:val="18"/>
                  <w:lang w:val="ro-RO"/>
                </w:rPr>
                <w:t>1q23.3</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Susceptibilitate nefrită lupică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FCGR2A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7" w:history="1">
              <w:r>
                <w:rPr>
                  <w:rStyle w:val="Hyperlink"/>
                  <w:rFonts w:ascii="Arial" w:eastAsia="Times New Roman" w:hAnsi="Arial" w:cs="Arial"/>
                  <w:color w:val="0C2EBB"/>
                  <w:sz w:val="18"/>
                  <w:szCs w:val="18"/>
                  <w:lang w:val="ro-RO"/>
                </w:rPr>
                <w:t>146790</w:t>
              </w:r>
            </w:hyperlink>
          </w:p>
        </w:tc>
      </w:tr>
      <w:tr w:rsidR="00E07CDF" w:rsidTr="00E07CDF">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8" w:history="1">
              <w:r>
                <w:rPr>
                  <w:rStyle w:val="Hyperlink"/>
                  <w:rFonts w:ascii="Arial" w:eastAsia="Times New Roman" w:hAnsi="Arial" w:cs="Arial"/>
                  <w:color w:val="0C2EBB"/>
                  <w:sz w:val="18"/>
                  <w:szCs w:val="18"/>
                  <w:lang w:val="ro-RO"/>
                </w:rPr>
                <w:t>1q23.3</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Susceptibilitate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FCGR2B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9" w:history="1">
              <w:r>
                <w:rPr>
                  <w:rStyle w:val="Hyperlink"/>
                  <w:rFonts w:ascii="Arial" w:eastAsia="Times New Roman" w:hAnsi="Arial" w:cs="Arial"/>
                  <w:color w:val="0C2EBB"/>
                  <w:sz w:val="18"/>
                  <w:szCs w:val="18"/>
                  <w:lang w:val="ro-RO"/>
                </w:rPr>
                <w:t>604590</w:t>
              </w:r>
            </w:hyperlink>
          </w:p>
        </w:tc>
      </w:tr>
      <w:tr w:rsidR="00E07CDF" w:rsidTr="00E07CDF">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10" w:history="1">
              <w:r>
                <w:rPr>
                  <w:rStyle w:val="Hyperlink"/>
                  <w:rFonts w:ascii="Arial" w:eastAsia="Times New Roman" w:hAnsi="Arial" w:cs="Arial"/>
                  <w:color w:val="0C2EBB"/>
                  <w:sz w:val="18"/>
                  <w:szCs w:val="18"/>
                  <w:lang w:val="ro-RO"/>
                </w:rPr>
                <w:t>2q33.2</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Susceptibilitate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CTLA4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11" w:history="1">
              <w:r>
                <w:rPr>
                  <w:rStyle w:val="Hyperlink"/>
                  <w:rFonts w:ascii="Arial" w:eastAsia="Times New Roman" w:hAnsi="Arial" w:cs="Arial"/>
                  <w:color w:val="0C2EBB"/>
                  <w:sz w:val="18"/>
                  <w:szCs w:val="18"/>
                  <w:lang w:val="ro-RO"/>
                </w:rPr>
                <w:t>123890</w:t>
              </w:r>
            </w:hyperlink>
          </w:p>
        </w:tc>
      </w:tr>
      <w:tr w:rsidR="00E07CDF" w:rsidTr="00E07CDF">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12" w:history="1">
              <w:r>
                <w:rPr>
                  <w:rStyle w:val="Hyperlink"/>
                  <w:rFonts w:ascii="Arial" w:eastAsia="Times New Roman" w:hAnsi="Arial" w:cs="Arial"/>
                  <w:color w:val="0C2EBB"/>
                  <w:sz w:val="18"/>
                  <w:szCs w:val="18"/>
                  <w:lang w:val="ro-RO"/>
                </w:rPr>
                <w:t>3p21.31</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Susceptibilitate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TREX1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13" w:history="1">
              <w:r>
                <w:rPr>
                  <w:rStyle w:val="Hyperlink"/>
                  <w:rFonts w:ascii="Arial" w:eastAsia="Times New Roman" w:hAnsi="Arial" w:cs="Arial"/>
                  <w:color w:val="0C2EBB"/>
                  <w:sz w:val="18"/>
                  <w:szCs w:val="18"/>
                  <w:lang w:val="ro-RO"/>
                </w:rPr>
                <w:t>606609</w:t>
              </w:r>
            </w:hyperlink>
          </w:p>
        </w:tc>
      </w:tr>
      <w:tr w:rsidR="00E07CDF" w:rsidTr="00E07CDF">
        <w:trPr>
          <w:trHeight w:val="14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14" w:history="1">
              <w:r>
                <w:rPr>
                  <w:rStyle w:val="Hyperlink"/>
                  <w:rFonts w:ascii="Arial" w:eastAsia="Times New Roman" w:hAnsi="Arial" w:cs="Arial"/>
                  <w:color w:val="0C2EBB"/>
                  <w:sz w:val="18"/>
                  <w:szCs w:val="18"/>
                  <w:lang w:val="ro-RO"/>
                </w:rPr>
                <w:t>16p13.3</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Susceptibilitate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r>
              <w:rPr>
                <w:rFonts w:ascii="Arial" w:eastAsia="Times New Roman" w:hAnsi="Arial" w:cs="Arial"/>
                <w:color w:val="000000"/>
                <w:sz w:val="18"/>
                <w:szCs w:val="18"/>
                <w:lang w:val="ro-RO"/>
              </w:rPr>
              <w:t>DNASE1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hideMark/>
          </w:tcPr>
          <w:p w:rsidR="00E07CDF" w:rsidRDefault="00E07CDF">
            <w:pPr>
              <w:spacing w:after="300" w:line="240" w:lineRule="auto"/>
              <w:rPr>
                <w:rFonts w:ascii="Arial" w:eastAsia="Times New Roman" w:hAnsi="Arial" w:cs="Arial"/>
                <w:color w:val="000000"/>
                <w:sz w:val="18"/>
                <w:szCs w:val="18"/>
                <w:lang w:val="ro-RO"/>
              </w:rPr>
            </w:pPr>
            <w:hyperlink r:id="rId15" w:history="1">
              <w:r>
                <w:rPr>
                  <w:rStyle w:val="Hyperlink"/>
                  <w:rFonts w:ascii="Arial" w:eastAsia="Times New Roman" w:hAnsi="Arial" w:cs="Arial"/>
                  <w:color w:val="0C2EBB"/>
                  <w:sz w:val="18"/>
                  <w:szCs w:val="18"/>
                  <w:lang w:val="ro-RO"/>
                </w:rPr>
                <w:t>125505</w:t>
              </w:r>
            </w:hyperlink>
          </w:p>
        </w:tc>
      </w:tr>
    </w:tbl>
    <w:p w:rsidR="00E07CDF" w:rsidRDefault="00E07CDF" w:rsidP="00E07CDF">
      <w:pPr>
        <w:spacing w:line="360" w:lineRule="auto"/>
        <w:ind w:firstLine="720"/>
        <w:jc w:val="both"/>
        <w:rPr>
          <w:rStyle w:val="Strong"/>
          <w:rFonts w:ascii="Arial" w:hAnsi="Arial" w:cs="Arial"/>
          <w:b w:val="0"/>
          <w:color w:val="484846"/>
          <w:sz w:val="21"/>
          <w:szCs w:val="21"/>
          <w:shd w:val="clear" w:color="auto" w:fill="FFFFFF"/>
          <w:lang w:val="ro-RO"/>
        </w:rPr>
      </w:pPr>
    </w:p>
    <w:p w:rsidR="00E07CDF" w:rsidRDefault="00E07CDF" w:rsidP="00E07CDF">
      <w:pPr>
        <w:spacing w:line="360" w:lineRule="auto"/>
        <w:ind w:firstLine="720"/>
        <w:jc w:val="both"/>
        <w:rPr>
          <w:rStyle w:val="Strong"/>
          <w:rFonts w:ascii="Arial" w:hAnsi="Arial" w:cs="Arial"/>
          <w:b w:val="0"/>
          <w:color w:val="484846"/>
          <w:sz w:val="21"/>
          <w:szCs w:val="21"/>
          <w:shd w:val="clear" w:color="auto" w:fill="FFFFFF"/>
          <w:lang w:val="ro-RO"/>
        </w:rPr>
      </w:pPr>
      <w:r>
        <w:rPr>
          <w:rStyle w:val="Strong"/>
          <w:rFonts w:ascii="Arial" w:hAnsi="Arial" w:cs="Arial"/>
          <w:b w:val="0"/>
          <w:color w:val="484846"/>
          <w:sz w:val="21"/>
          <w:szCs w:val="21"/>
          <w:shd w:val="clear" w:color="auto" w:fill="FFFFFF"/>
          <w:lang w:val="ro-RO"/>
        </w:rPr>
        <w:t>La noi in ţară se poate determina, de exemplu prin reacţia PCR urmată de electroforeza, prezenţa unei modificări la nivel HLA DR2/DR3, care asociază un risc relativ de apariţie a LES de 5,8. Dar analiza nu este specifică, diagnosticul necesit</w:t>
      </w:r>
      <w:r>
        <w:rPr>
          <w:rStyle w:val="Strong"/>
          <w:rFonts w:ascii="Calibri" w:hAnsi="Calibri" w:cs="Arial"/>
          <w:b w:val="0"/>
          <w:color w:val="484846"/>
          <w:sz w:val="21"/>
          <w:szCs w:val="21"/>
          <w:shd w:val="clear" w:color="auto" w:fill="FFFFFF"/>
          <w:lang w:val="ro-RO"/>
        </w:rPr>
        <w:t>â</w:t>
      </w:r>
      <w:r>
        <w:rPr>
          <w:rStyle w:val="Strong"/>
          <w:rFonts w:ascii="Arial" w:hAnsi="Arial" w:cs="Arial"/>
          <w:b w:val="0"/>
          <w:color w:val="484846"/>
          <w:sz w:val="21"/>
          <w:szCs w:val="21"/>
          <w:shd w:val="clear" w:color="auto" w:fill="FFFFFF"/>
          <w:lang w:val="ro-RO"/>
        </w:rPr>
        <w:t xml:space="preserve">nd </w:t>
      </w:r>
      <w:r>
        <w:rPr>
          <w:rStyle w:val="Strong"/>
          <w:rFonts w:ascii="Calibri" w:hAnsi="Calibri" w:cs="Arial"/>
          <w:b w:val="0"/>
          <w:color w:val="484846"/>
          <w:sz w:val="21"/>
          <w:szCs w:val="21"/>
          <w:shd w:val="clear" w:color="auto" w:fill="FFFFFF"/>
          <w:lang w:val="ro-RO"/>
        </w:rPr>
        <w:t>ş</w:t>
      </w:r>
      <w:r>
        <w:rPr>
          <w:rStyle w:val="Strong"/>
          <w:rFonts w:ascii="Arial" w:hAnsi="Arial" w:cs="Arial"/>
          <w:b w:val="0"/>
          <w:color w:val="484846"/>
          <w:sz w:val="21"/>
          <w:szCs w:val="21"/>
          <w:shd w:val="clear" w:color="auto" w:fill="FFFFFF"/>
          <w:lang w:val="ro-RO"/>
        </w:rPr>
        <w:t>i alte investiga</w:t>
      </w:r>
      <w:r>
        <w:rPr>
          <w:rStyle w:val="Strong"/>
          <w:rFonts w:ascii="Calibri" w:hAnsi="Calibri" w:cs="Arial"/>
          <w:b w:val="0"/>
          <w:color w:val="484846"/>
          <w:sz w:val="21"/>
          <w:szCs w:val="21"/>
          <w:shd w:val="clear" w:color="auto" w:fill="FFFFFF"/>
          <w:lang w:val="ro-RO"/>
        </w:rPr>
        <w:t>ţ</w:t>
      </w:r>
      <w:r>
        <w:rPr>
          <w:rStyle w:val="Strong"/>
          <w:rFonts w:ascii="Arial" w:hAnsi="Arial" w:cs="Arial"/>
          <w:b w:val="0"/>
          <w:color w:val="484846"/>
          <w:sz w:val="21"/>
          <w:szCs w:val="21"/>
          <w:shd w:val="clear" w:color="auto" w:fill="FFFFFF"/>
          <w:lang w:val="ro-RO"/>
        </w:rPr>
        <w:t xml:space="preserve">ii </w:t>
      </w:r>
      <w:r>
        <w:rPr>
          <w:rStyle w:val="Strong"/>
          <w:rFonts w:ascii="Calibri" w:hAnsi="Calibri" w:cs="Arial"/>
          <w:b w:val="0"/>
          <w:color w:val="484846"/>
          <w:sz w:val="21"/>
          <w:szCs w:val="21"/>
          <w:shd w:val="clear" w:color="auto" w:fill="FFFFFF"/>
          <w:lang w:val="ro-RO"/>
        </w:rPr>
        <w:t>ş</w:t>
      </w:r>
      <w:r>
        <w:rPr>
          <w:rStyle w:val="Strong"/>
          <w:rFonts w:ascii="Arial" w:hAnsi="Arial" w:cs="Arial"/>
          <w:b w:val="0"/>
          <w:color w:val="484846"/>
          <w:sz w:val="21"/>
          <w:szCs w:val="21"/>
          <w:shd w:val="clear" w:color="auto" w:fill="FFFFFF"/>
          <w:lang w:val="ro-RO"/>
        </w:rPr>
        <w:t>i dovezi clinice si de laborator.</w:t>
      </w:r>
    </w:p>
    <w:p w:rsidR="00E07CDF" w:rsidRDefault="00E07CDF" w:rsidP="00E07CDF">
      <w:pPr>
        <w:spacing w:line="360" w:lineRule="auto"/>
        <w:ind w:firstLine="720"/>
        <w:jc w:val="both"/>
        <w:rPr>
          <w:rStyle w:val="Strong"/>
          <w:rFonts w:ascii="Arial" w:hAnsi="Arial" w:cs="Arial"/>
          <w:b w:val="0"/>
          <w:color w:val="484846"/>
          <w:sz w:val="21"/>
          <w:szCs w:val="21"/>
          <w:shd w:val="clear" w:color="auto" w:fill="FFFFFF"/>
          <w:lang w:val="ro-RO"/>
        </w:rPr>
      </w:pPr>
      <w:r>
        <w:rPr>
          <w:rStyle w:val="Strong"/>
          <w:rFonts w:ascii="Arial" w:hAnsi="Arial" w:cs="Arial"/>
          <w:b w:val="0"/>
          <w:color w:val="484846"/>
          <w:sz w:val="21"/>
          <w:szCs w:val="21"/>
          <w:shd w:val="clear" w:color="auto" w:fill="FFFFFF"/>
          <w:lang w:val="ro-RO"/>
        </w:rPr>
        <w:t xml:space="preserve">In timpul sfatului genetic din cadrul unei consultatii genetice se poate discuta cu membrii familiei dacă există sau nu un risc de recurenţă a bolii şi eventual să se identifice factorii ‘trigger’ (declanşatori) pentru apariţia LES, precum: dieta, infecţiile virale, </w:t>
      </w:r>
      <w:r>
        <w:rPr>
          <w:rFonts w:ascii="Arial" w:hAnsi="Arial" w:cs="Arial"/>
          <w:color w:val="202020"/>
          <w:sz w:val="21"/>
          <w:szCs w:val="21"/>
          <w:shd w:val="clear" w:color="auto" w:fill="FFFFFF"/>
          <w:lang w:val="ro-RO"/>
        </w:rPr>
        <w:t>efortul fizic şi/sau psihic extenuant, expunerea la substanţe chimice toxice sau chiar la lumina solară, medicul genetician put</w:t>
      </w:r>
      <w:r>
        <w:rPr>
          <w:rFonts w:ascii="Calibri" w:hAnsi="Calibri" w:cs="Arial"/>
          <w:color w:val="202020"/>
          <w:sz w:val="21"/>
          <w:szCs w:val="21"/>
          <w:shd w:val="clear" w:color="auto" w:fill="FFFFFF"/>
          <w:lang w:val="ro-RO"/>
        </w:rPr>
        <w:t>â</w:t>
      </w:r>
      <w:r>
        <w:rPr>
          <w:rFonts w:ascii="Arial" w:hAnsi="Arial" w:cs="Arial"/>
          <w:color w:val="202020"/>
          <w:sz w:val="21"/>
          <w:szCs w:val="21"/>
          <w:shd w:val="clear" w:color="auto" w:fill="FFFFFF"/>
          <w:lang w:val="ro-RO"/>
        </w:rPr>
        <w:t>nd analiza, interpreta si explica dac</w:t>
      </w:r>
      <w:r>
        <w:rPr>
          <w:rFonts w:ascii="Calibri" w:hAnsi="Calibri" w:cs="Arial"/>
          <w:color w:val="202020"/>
          <w:sz w:val="21"/>
          <w:szCs w:val="21"/>
          <w:shd w:val="clear" w:color="auto" w:fill="FFFFFF"/>
          <w:lang w:val="ro-RO"/>
        </w:rPr>
        <w:t>ă</w:t>
      </w:r>
      <w:r>
        <w:rPr>
          <w:rFonts w:ascii="Arial" w:hAnsi="Arial" w:cs="Arial"/>
          <w:color w:val="202020"/>
          <w:sz w:val="21"/>
          <w:szCs w:val="21"/>
          <w:shd w:val="clear" w:color="auto" w:fill="FFFFFF"/>
          <w:lang w:val="ro-RO"/>
        </w:rPr>
        <w:t xml:space="preserve"> ȋn acel caz boala este transmis</w:t>
      </w:r>
      <w:r>
        <w:rPr>
          <w:rFonts w:ascii="Calibri" w:hAnsi="Calibri" w:cs="Arial"/>
          <w:color w:val="202020"/>
          <w:sz w:val="21"/>
          <w:szCs w:val="21"/>
          <w:shd w:val="clear" w:color="auto" w:fill="FFFFFF"/>
          <w:lang w:val="ro-RO"/>
        </w:rPr>
        <w:t>ă</w:t>
      </w:r>
      <w:r>
        <w:rPr>
          <w:rFonts w:ascii="Arial" w:hAnsi="Arial" w:cs="Arial"/>
          <w:color w:val="202020"/>
          <w:sz w:val="21"/>
          <w:szCs w:val="21"/>
          <w:shd w:val="clear" w:color="auto" w:fill="FFFFFF"/>
          <w:lang w:val="ro-RO"/>
        </w:rPr>
        <w:t xml:space="preserve"> ereditar monogenic sau multifactorial.</w:t>
      </w:r>
    </w:p>
    <w:p w:rsidR="00E07CDF" w:rsidRDefault="00E07CDF" w:rsidP="00E07CDF">
      <w:pPr>
        <w:spacing w:line="360" w:lineRule="auto"/>
        <w:ind w:left="1440" w:hanging="720"/>
        <w:jc w:val="both"/>
      </w:pPr>
    </w:p>
    <w:p w:rsidR="00A46BF0" w:rsidRDefault="00A46BF0">
      <w:bookmarkStart w:id="0" w:name="_GoBack"/>
      <w:bookmarkEnd w:id="0"/>
    </w:p>
    <w:sectPr w:rsidR="00A46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F"/>
    <w:rsid w:val="00A46BF0"/>
    <w:rsid w:val="00E0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1930-19BB-4FCC-94EB-51BF29E1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C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7CDF"/>
  </w:style>
  <w:style w:type="character" w:styleId="Strong">
    <w:name w:val="Strong"/>
    <w:basedOn w:val="DefaultParagraphFont"/>
    <w:uiPriority w:val="22"/>
    <w:qFormat/>
    <w:rsid w:val="00E07CDF"/>
    <w:rPr>
      <w:b/>
      <w:bCs/>
    </w:rPr>
  </w:style>
  <w:style w:type="character" w:styleId="Hyperlink">
    <w:name w:val="Hyperlink"/>
    <w:basedOn w:val="DefaultParagraphFont"/>
    <w:uiPriority w:val="99"/>
    <w:semiHidden/>
    <w:unhideWhenUsed/>
    <w:rsid w:val="00E07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49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im.org/geneMap/1/1161?start=-3&amp;limit=10&amp;highlight=1161" TargetMode="External"/><Relationship Id="rId13" Type="http://schemas.openxmlformats.org/officeDocument/2006/relationships/hyperlink" Target="http://omim.org/entry/606609" TargetMode="External"/><Relationship Id="rId3" Type="http://schemas.openxmlformats.org/officeDocument/2006/relationships/webSettings" Target="webSettings.xml"/><Relationship Id="rId7" Type="http://schemas.openxmlformats.org/officeDocument/2006/relationships/hyperlink" Target="http://omim.org/entry/146790" TargetMode="External"/><Relationship Id="rId12" Type="http://schemas.openxmlformats.org/officeDocument/2006/relationships/hyperlink" Target="http://omim.org/geneMap/3/238?start=-3&amp;limit=10&amp;highlight=23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mim.org/geneMap/1/1155?start=-3&amp;limit=10&amp;highlight=1155" TargetMode="External"/><Relationship Id="rId11" Type="http://schemas.openxmlformats.org/officeDocument/2006/relationships/hyperlink" Target="http://omim.org/entry/123890" TargetMode="External"/><Relationship Id="rId5" Type="http://schemas.openxmlformats.org/officeDocument/2006/relationships/hyperlink" Target="http://omim.org/entry/600716" TargetMode="External"/><Relationship Id="rId15" Type="http://schemas.openxmlformats.org/officeDocument/2006/relationships/hyperlink" Target="http://omim.org/entry/125505" TargetMode="External"/><Relationship Id="rId10" Type="http://schemas.openxmlformats.org/officeDocument/2006/relationships/hyperlink" Target="http://omim.org/geneMap/2/791?start=-3&amp;limit=10&amp;highlight=791" TargetMode="External"/><Relationship Id="rId4" Type="http://schemas.openxmlformats.org/officeDocument/2006/relationships/hyperlink" Target="http://omim.org/geneMap/1/790?start=-3&amp;limit=10&amp;highlight=790" TargetMode="External"/><Relationship Id="rId9" Type="http://schemas.openxmlformats.org/officeDocument/2006/relationships/hyperlink" Target="http://omim.org/entry/604590" TargetMode="External"/><Relationship Id="rId14" Type="http://schemas.openxmlformats.org/officeDocument/2006/relationships/hyperlink" Target="http://omim.org/geneMap/16/123?start=-3&amp;limit=10&amp;highlight=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2021-07-20T09:56:00Z</dcterms:created>
  <dcterms:modified xsi:type="dcterms:W3CDTF">2021-07-20T10:06:00Z</dcterms:modified>
</cp:coreProperties>
</file>